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029"/>
      </w:tblGrid>
      <w:tr w:rsidR="00755CAB" w:rsidRPr="001023C5" w14:paraId="296D0F63" w14:textId="77777777" w:rsidTr="002D6F52">
        <w:trPr>
          <w:trHeight w:val="1167"/>
        </w:trPr>
        <w:tc>
          <w:tcPr>
            <w:tcW w:w="5940" w:type="dxa"/>
          </w:tcPr>
          <w:p w14:paraId="43D12A52" w14:textId="77777777" w:rsidR="00755CAB" w:rsidRPr="001023C5" w:rsidRDefault="00755CAB" w:rsidP="002D6F52">
            <w:pPr>
              <w:rPr>
                <w:rFonts w:ascii="Georgia" w:hAnsi="Georgia"/>
                <w:b/>
                <w:szCs w:val="24"/>
              </w:rPr>
            </w:pPr>
            <w:r w:rsidRPr="001023C5">
              <w:rPr>
                <w:rFonts w:ascii="Georgia" w:hAnsi="Georgia"/>
                <w:b/>
                <w:szCs w:val="24"/>
              </w:rPr>
              <w:t>FOR IMMEDIATE RELEASE</w:t>
            </w:r>
          </w:p>
          <w:p w14:paraId="4A515AFD" w14:textId="77777777" w:rsidR="00755CAB" w:rsidRPr="001023C5" w:rsidRDefault="00755CAB" w:rsidP="002D6F52">
            <w:pPr>
              <w:rPr>
                <w:rFonts w:ascii="Georgia" w:hAnsi="Georgia"/>
                <w:bCs/>
                <w:szCs w:val="24"/>
              </w:rPr>
            </w:pPr>
          </w:p>
          <w:p w14:paraId="2E1C7587" w14:textId="000B62C8" w:rsidR="00755CAB" w:rsidRPr="001023C5" w:rsidRDefault="00755CAB" w:rsidP="002D6F52">
            <w:pPr>
              <w:rPr>
                <w:rFonts w:ascii="Georgia" w:hAnsi="Georgia"/>
                <w:bCs/>
                <w:szCs w:val="24"/>
              </w:rPr>
            </w:pPr>
            <w:r>
              <w:rPr>
                <w:rFonts w:ascii="Georgia" w:hAnsi="Georgia"/>
                <w:bCs/>
                <w:szCs w:val="24"/>
              </w:rPr>
              <w:t xml:space="preserve">April </w:t>
            </w:r>
            <w:r w:rsidR="00F519A9">
              <w:rPr>
                <w:rFonts w:ascii="Georgia" w:hAnsi="Georgia"/>
                <w:bCs/>
                <w:szCs w:val="24"/>
              </w:rPr>
              <w:t>29</w:t>
            </w:r>
            <w:r>
              <w:rPr>
                <w:rFonts w:ascii="Georgia" w:hAnsi="Georgia"/>
                <w:bCs/>
                <w:szCs w:val="24"/>
              </w:rPr>
              <w:t>, 2021</w:t>
            </w:r>
          </w:p>
          <w:p w14:paraId="14D578D0" w14:textId="77777777" w:rsidR="00755CAB" w:rsidRPr="001023C5" w:rsidRDefault="00755CAB" w:rsidP="002D6F52">
            <w:pPr>
              <w:jc w:val="center"/>
              <w:rPr>
                <w:rFonts w:ascii="Georgia" w:hAnsi="Georgia" w:cs="Arial"/>
                <w:b/>
                <w:bCs/>
                <w:color w:val="222222"/>
                <w:sz w:val="28"/>
                <w:szCs w:val="28"/>
                <w:shd w:val="clear" w:color="auto" w:fill="FFFFFF"/>
              </w:rPr>
            </w:pPr>
          </w:p>
        </w:tc>
        <w:tc>
          <w:tcPr>
            <w:tcW w:w="5029" w:type="dxa"/>
          </w:tcPr>
          <w:p w14:paraId="07C84789" w14:textId="77777777" w:rsidR="00755CAB" w:rsidRPr="001023C5" w:rsidRDefault="00755CAB" w:rsidP="00011E12">
            <w:pPr>
              <w:rPr>
                <w:rFonts w:ascii="Georgia" w:hAnsi="Georgia" w:cs="Arial"/>
                <w:b/>
                <w:bCs/>
                <w:color w:val="222222"/>
                <w:sz w:val="28"/>
                <w:szCs w:val="28"/>
                <w:shd w:val="clear" w:color="auto" w:fill="FFFFFF"/>
              </w:rPr>
            </w:pPr>
          </w:p>
        </w:tc>
      </w:tr>
    </w:tbl>
    <w:p w14:paraId="67BABBF5" w14:textId="77777777" w:rsidR="00755CAB" w:rsidRDefault="00755CAB" w:rsidP="00755CAB">
      <w:pPr>
        <w:jc w:val="center"/>
        <w:rPr>
          <w:rFonts w:ascii="Georgia" w:hAnsi="Georgia" w:cs="Calibri"/>
          <w:b/>
          <w:bCs/>
          <w:color w:val="222222"/>
          <w:sz w:val="34"/>
          <w:szCs w:val="34"/>
          <w:shd w:val="clear" w:color="auto" w:fill="FFFFFF"/>
        </w:rPr>
      </w:pPr>
      <w:r>
        <w:rPr>
          <w:rFonts w:ascii="Georgia" w:hAnsi="Georgia" w:cs="Calibri"/>
          <w:b/>
          <w:bCs/>
          <w:color w:val="222222"/>
          <w:sz w:val="34"/>
          <w:szCs w:val="34"/>
          <w:shd w:val="clear" w:color="auto" w:fill="FFFFFF"/>
        </w:rPr>
        <w:t xml:space="preserve">New Legislation Creates Financial Protections for </w:t>
      </w:r>
    </w:p>
    <w:p w14:paraId="57F420C8" w14:textId="2B44E7BD" w:rsidR="00755CAB" w:rsidRPr="00800FBC" w:rsidRDefault="00755CAB" w:rsidP="00755CAB">
      <w:pPr>
        <w:jc w:val="center"/>
        <w:rPr>
          <w:rFonts w:ascii="Georgia" w:hAnsi="Georgia" w:cs="Calibri"/>
          <w:b/>
          <w:bCs/>
          <w:color w:val="222222"/>
          <w:sz w:val="34"/>
          <w:szCs w:val="34"/>
          <w:shd w:val="clear" w:color="auto" w:fill="FFFFFF"/>
        </w:rPr>
      </w:pPr>
      <w:r>
        <w:rPr>
          <w:rFonts w:ascii="Georgia" w:hAnsi="Georgia" w:cs="Calibri"/>
          <w:b/>
          <w:bCs/>
          <w:color w:val="222222"/>
          <w:sz w:val="34"/>
          <w:szCs w:val="34"/>
          <w:shd w:val="clear" w:color="auto" w:fill="FFFFFF"/>
        </w:rPr>
        <w:t>Residents</w:t>
      </w:r>
      <w:r w:rsidR="000932EF">
        <w:rPr>
          <w:rFonts w:ascii="Georgia" w:hAnsi="Georgia" w:cs="Calibri"/>
          <w:b/>
          <w:bCs/>
          <w:color w:val="222222"/>
          <w:sz w:val="34"/>
          <w:szCs w:val="34"/>
          <w:shd w:val="clear" w:color="auto" w:fill="FFFFFF"/>
        </w:rPr>
        <w:t xml:space="preserve"> </w:t>
      </w:r>
      <w:r w:rsidR="00E10C2D">
        <w:rPr>
          <w:rFonts w:ascii="Georgia" w:hAnsi="Georgia" w:cs="Calibri"/>
          <w:b/>
          <w:bCs/>
          <w:color w:val="222222"/>
          <w:sz w:val="34"/>
          <w:szCs w:val="34"/>
          <w:shd w:val="clear" w:color="auto" w:fill="FFFFFF"/>
        </w:rPr>
        <w:t>of</w:t>
      </w:r>
      <w:r w:rsidR="000932EF">
        <w:rPr>
          <w:rFonts w:ascii="Georgia" w:hAnsi="Georgia" w:cs="Calibri"/>
          <w:b/>
          <w:bCs/>
          <w:color w:val="222222"/>
          <w:sz w:val="34"/>
          <w:szCs w:val="34"/>
          <w:shd w:val="clear" w:color="auto" w:fill="FFFFFF"/>
        </w:rPr>
        <w:t xml:space="preserve"> Retirement Communities</w:t>
      </w:r>
      <w:r>
        <w:rPr>
          <w:rFonts w:ascii="Georgia" w:hAnsi="Georgia" w:cs="Calibri"/>
          <w:b/>
          <w:bCs/>
          <w:color w:val="222222"/>
          <w:sz w:val="34"/>
          <w:szCs w:val="34"/>
          <w:shd w:val="clear" w:color="auto" w:fill="FFFFFF"/>
        </w:rPr>
        <w:t xml:space="preserve"> </w:t>
      </w:r>
    </w:p>
    <w:p w14:paraId="7E7ACB91" w14:textId="41C832D6" w:rsidR="00755CAB" w:rsidRPr="00A13513" w:rsidRDefault="00755CAB" w:rsidP="00755CAB">
      <w:pPr>
        <w:jc w:val="center"/>
        <w:rPr>
          <w:rFonts w:ascii="Georgia" w:hAnsi="Georgia" w:cs="Calibri"/>
          <w:i/>
          <w:iCs/>
          <w:color w:val="222222"/>
          <w:sz w:val="28"/>
          <w:szCs w:val="28"/>
          <w:shd w:val="clear" w:color="auto" w:fill="FFFFFF"/>
        </w:rPr>
      </w:pPr>
      <w:r>
        <w:rPr>
          <w:rFonts w:ascii="Georgia" w:hAnsi="Georgia" w:cs="Calibri"/>
          <w:i/>
          <w:iCs/>
          <w:color w:val="000000"/>
          <w:sz w:val="28"/>
          <w:szCs w:val="28"/>
          <w:shd w:val="clear" w:color="auto" w:fill="FFFFFF"/>
        </w:rPr>
        <w:t>Aging and Long</w:t>
      </w:r>
      <w:r w:rsidR="00FF3333">
        <w:rPr>
          <w:rFonts w:ascii="Georgia" w:hAnsi="Georgia" w:cs="Calibri"/>
          <w:i/>
          <w:iCs/>
          <w:color w:val="000000"/>
          <w:sz w:val="28"/>
          <w:szCs w:val="28"/>
          <w:shd w:val="clear" w:color="auto" w:fill="FFFFFF"/>
        </w:rPr>
        <w:t>-</w:t>
      </w:r>
      <w:r>
        <w:rPr>
          <w:rFonts w:ascii="Georgia" w:hAnsi="Georgia" w:cs="Calibri"/>
          <w:i/>
          <w:iCs/>
          <w:color w:val="000000"/>
          <w:sz w:val="28"/>
          <w:szCs w:val="28"/>
          <w:shd w:val="clear" w:color="auto" w:fill="FFFFFF"/>
        </w:rPr>
        <w:t>Term Services Department praises The Continuing Care Act, Senate Bill 152</w:t>
      </w:r>
      <w:r w:rsidR="00E10C2D">
        <w:rPr>
          <w:rFonts w:ascii="Georgia" w:hAnsi="Georgia" w:cs="Calibri"/>
          <w:i/>
          <w:iCs/>
          <w:color w:val="000000"/>
          <w:sz w:val="28"/>
          <w:szCs w:val="28"/>
          <w:shd w:val="clear" w:color="auto" w:fill="FFFFFF"/>
        </w:rPr>
        <w:t>,</w:t>
      </w:r>
      <w:r>
        <w:rPr>
          <w:rFonts w:ascii="Georgia" w:hAnsi="Georgia" w:cs="Calibri"/>
          <w:i/>
          <w:iCs/>
          <w:color w:val="000000"/>
          <w:sz w:val="28"/>
          <w:szCs w:val="28"/>
          <w:shd w:val="clear" w:color="auto" w:fill="FFFFFF"/>
        </w:rPr>
        <w:t xml:space="preserve"> sponsored by Senator Bill Tallman and Representative Liz Thomson  </w:t>
      </w:r>
    </w:p>
    <w:p w14:paraId="1A2AC504" w14:textId="243E7DAE" w:rsidR="00511ED2" w:rsidRPr="00134179" w:rsidRDefault="00755CAB" w:rsidP="00755CAB">
      <w:pPr>
        <w:spacing w:before="240"/>
        <w:rPr>
          <w:rFonts w:ascii="Georgia" w:hAnsi="Georgia" w:cs="Calibri"/>
          <w:sz w:val="22"/>
          <w:szCs w:val="22"/>
        </w:rPr>
      </w:pPr>
      <w:r w:rsidRPr="00134179">
        <w:rPr>
          <w:rFonts w:ascii="Georgia" w:hAnsi="Georgia" w:cs="Calibri"/>
          <w:b/>
          <w:bCs/>
          <w:sz w:val="22"/>
          <w:szCs w:val="22"/>
        </w:rPr>
        <w:t>NEW MEXICO –</w:t>
      </w:r>
      <w:r w:rsidRPr="00134179">
        <w:rPr>
          <w:rFonts w:ascii="Georgia" w:hAnsi="Georgia" w:cs="Calibri"/>
          <w:sz w:val="22"/>
          <w:szCs w:val="22"/>
        </w:rPr>
        <w:t xml:space="preserve">  When a retirement community decides to close or goes bankrupt the ripple effects can jeopardize the livelihood</w:t>
      </w:r>
      <w:r w:rsidR="002E07CF" w:rsidRPr="00134179">
        <w:rPr>
          <w:rFonts w:ascii="Georgia" w:hAnsi="Georgia" w:cs="Calibri"/>
          <w:sz w:val="22"/>
          <w:szCs w:val="22"/>
        </w:rPr>
        <w:t xml:space="preserve"> </w:t>
      </w:r>
      <w:r w:rsidRPr="00134179">
        <w:rPr>
          <w:rFonts w:ascii="Georgia" w:hAnsi="Georgia" w:cs="Calibri"/>
          <w:sz w:val="22"/>
          <w:szCs w:val="22"/>
        </w:rPr>
        <w:t xml:space="preserve"> </w:t>
      </w:r>
      <w:r w:rsidR="002E07CF" w:rsidRPr="00134179">
        <w:rPr>
          <w:rFonts w:ascii="Georgia" w:hAnsi="Georgia" w:cs="Calibri"/>
          <w:sz w:val="22"/>
          <w:szCs w:val="22"/>
        </w:rPr>
        <w:t xml:space="preserve">and future </w:t>
      </w:r>
      <w:r w:rsidRPr="00134179">
        <w:rPr>
          <w:rFonts w:ascii="Georgia" w:hAnsi="Georgia" w:cs="Calibri"/>
          <w:sz w:val="22"/>
          <w:szCs w:val="22"/>
        </w:rPr>
        <w:t>of residents</w:t>
      </w:r>
      <w:r w:rsidR="00511ED2" w:rsidRPr="00134179">
        <w:rPr>
          <w:rFonts w:ascii="Georgia" w:hAnsi="Georgia" w:cs="Calibri"/>
          <w:sz w:val="22"/>
          <w:szCs w:val="22"/>
        </w:rPr>
        <w:t>. This can be especially detrimental in situations where residents are left in the dark as to the fiscal stability</w:t>
      </w:r>
      <w:r w:rsidR="001E06A5">
        <w:rPr>
          <w:rFonts w:ascii="Georgia" w:hAnsi="Georgia" w:cs="Calibri"/>
          <w:sz w:val="22"/>
          <w:szCs w:val="22"/>
        </w:rPr>
        <w:t xml:space="preserve"> of</w:t>
      </w:r>
      <w:r w:rsidR="00511ED2" w:rsidRPr="00134179">
        <w:rPr>
          <w:rFonts w:ascii="Georgia" w:hAnsi="Georgia" w:cs="Calibri"/>
          <w:sz w:val="22"/>
          <w:szCs w:val="22"/>
        </w:rPr>
        <w:t xml:space="preserve"> the continuing care </w:t>
      </w:r>
      <w:r w:rsidR="00FF506B">
        <w:rPr>
          <w:rFonts w:ascii="Georgia" w:hAnsi="Georgia" w:cs="Calibri"/>
          <w:sz w:val="22"/>
          <w:szCs w:val="22"/>
        </w:rPr>
        <w:t xml:space="preserve">retirement </w:t>
      </w:r>
      <w:r w:rsidR="00511ED2" w:rsidRPr="00134179">
        <w:rPr>
          <w:rFonts w:ascii="Georgia" w:hAnsi="Georgia" w:cs="Calibri"/>
          <w:sz w:val="22"/>
          <w:szCs w:val="22"/>
        </w:rPr>
        <w:t xml:space="preserve">community. </w:t>
      </w:r>
    </w:p>
    <w:p w14:paraId="3EA432FD" w14:textId="3F91DF75" w:rsidR="00FF0E5D" w:rsidRPr="00134179" w:rsidRDefault="00511ED2" w:rsidP="00755CAB">
      <w:pPr>
        <w:spacing w:before="240"/>
        <w:rPr>
          <w:rFonts w:ascii="Georgia" w:hAnsi="Georgia" w:cs="Calibri"/>
          <w:sz w:val="22"/>
          <w:szCs w:val="22"/>
        </w:rPr>
      </w:pPr>
      <w:r w:rsidRPr="00134179">
        <w:rPr>
          <w:rFonts w:ascii="Georgia" w:hAnsi="Georgia" w:cs="Calibri"/>
          <w:sz w:val="22"/>
          <w:szCs w:val="22"/>
        </w:rPr>
        <w:t xml:space="preserve">The State of New Mexico has now made it more difficult for continuing care organizations to hide looming </w:t>
      </w:r>
      <w:r w:rsidR="00AF6CA6" w:rsidRPr="00134179">
        <w:rPr>
          <w:rFonts w:ascii="Georgia" w:hAnsi="Georgia" w:cs="Calibri"/>
          <w:sz w:val="22"/>
          <w:szCs w:val="22"/>
        </w:rPr>
        <w:t>financial follies</w:t>
      </w:r>
      <w:r w:rsidR="002753E8" w:rsidRPr="00134179">
        <w:rPr>
          <w:rFonts w:ascii="Georgia" w:hAnsi="Georgia" w:cs="Calibri"/>
          <w:sz w:val="22"/>
          <w:szCs w:val="22"/>
        </w:rPr>
        <w:t xml:space="preserve"> or </w:t>
      </w:r>
      <w:r w:rsidR="00485139" w:rsidRPr="00134179">
        <w:rPr>
          <w:rFonts w:ascii="Georgia" w:hAnsi="Georgia" w:cs="Calibri"/>
          <w:sz w:val="22"/>
          <w:szCs w:val="22"/>
        </w:rPr>
        <w:t>past bankruptcy issues</w:t>
      </w:r>
      <w:r w:rsidR="0035443B" w:rsidRPr="00134179">
        <w:rPr>
          <w:rFonts w:ascii="Georgia" w:hAnsi="Georgia" w:cs="Calibri"/>
          <w:sz w:val="22"/>
          <w:szCs w:val="22"/>
        </w:rPr>
        <w:t>. The Continuing Care Act</w:t>
      </w:r>
      <w:r w:rsidR="00E35292" w:rsidRPr="00134179">
        <w:rPr>
          <w:rFonts w:ascii="Georgia" w:hAnsi="Georgia" w:cs="Calibri"/>
          <w:sz w:val="22"/>
          <w:szCs w:val="22"/>
        </w:rPr>
        <w:t xml:space="preserve">, passed by State Legislators in the 2021 Regular Session, </w:t>
      </w:r>
      <w:r w:rsidR="005C02D6" w:rsidRPr="00134179">
        <w:rPr>
          <w:rFonts w:ascii="Georgia" w:hAnsi="Georgia" w:cs="Calibri"/>
          <w:sz w:val="22"/>
          <w:szCs w:val="22"/>
        </w:rPr>
        <w:t xml:space="preserve">requires Continuing Care </w:t>
      </w:r>
      <w:r w:rsidR="004F69AB">
        <w:rPr>
          <w:rFonts w:ascii="Georgia" w:hAnsi="Georgia" w:cs="Calibri"/>
          <w:sz w:val="22"/>
          <w:szCs w:val="22"/>
        </w:rPr>
        <w:t xml:space="preserve">Retirement </w:t>
      </w:r>
      <w:r w:rsidR="005C02D6" w:rsidRPr="00134179">
        <w:rPr>
          <w:rFonts w:ascii="Georgia" w:hAnsi="Georgia" w:cs="Calibri"/>
          <w:sz w:val="22"/>
          <w:szCs w:val="22"/>
        </w:rPr>
        <w:t xml:space="preserve">Communities </w:t>
      </w:r>
      <w:r w:rsidR="004F69AB">
        <w:rPr>
          <w:rFonts w:ascii="Georgia" w:hAnsi="Georgia" w:cs="Calibri"/>
          <w:sz w:val="22"/>
          <w:szCs w:val="22"/>
        </w:rPr>
        <w:t>[CCRC</w:t>
      </w:r>
      <w:r w:rsidR="008317EC">
        <w:rPr>
          <w:rFonts w:ascii="Georgia" w:hAnsi="Georgia" w:cs="Calibri"/>
          <w:sz w:val="22"/>
          <w:szCs w:val="22"/>
        </w:rPr>
        <w:t xml:space="preserve">] </w:t>
      </w:r>
      <w:r w:rsidR="005C02D6" w:rsidRPr="00134179">
        <w:rPr>
          <w:rFonts w:ascii="Georgia" w:hAnsi="Georgia" w:cs="Calibri"/>
          <w:sz w:val="22"/>
          <w:szCs w:val="22"/>
        </w:rPr>
        <w:t xml:space="preserve">provide residents with documents that </w:t>
      </w:r>
      <w:r w:rsidR="00634BDD" w:rsidRPr="00134179">
        <w:rPr>
          <w:rFonts w:ascii="Georgia" w:hAnsi="Georgia" w:cs="Calibri"/>
          <w:sz w:val="22"/>
          <w:szCs w:val="22"/>
        </w:rPr>
        <w:t>shed light on their investors,</w:t>
      </w:r>
      <w:r w:rsidR="00FF0E5D" w:rsidRPr="00134179">
        <w:rPr>
          <w:rFonts w:ascii="Georgia" w:hAnsi="Georgia" w:cs="Calibri"/>
          <w:sz w:val="22"/>
          <w:szCs w:val="22"/>
        </w:rPr>
        <w:t xml:space="preserve"> owners,</w:t>
      </w:r>
      <w:r w:rsidR="00634BDD" w:rsidRPr="00134179">
        <w:rPr>
          <w:rFonts w:ascii="Georgia" w:hAnsi="Georgia" w:cs="Calibri"/>
          <w:sz w:val="22"/>
          <w:szCs w:val="22"/>
        </w:rPr>
        <w:t xml:space="preserve"> </w:t>
      </w:r>
      <w:r w:rsidR="002B5389" w:rsidRPr="00134179">
        <w:rPr>
          <w:rFonts w:ascii="Georgia" w:hAnsi="Georgia" w:cs="Calibri"/>
          <w:sz w:val="22"/>
          <w:szCs w:val="22"/>
        </w:rPr>
        <w:t>s</w:t>
      </w:r>
      <w:r w:rsidR="00485139" w:rsidRPr="00134179">
        <w:rPr>
          <w:rFonts w:ascii="Georgia" w:hAnsi="Georgia" w:cs="Calibri"/>
          <w:sz w:val="22"/>
          <w:szCs w:val="22"/>
        </w:rPr>
        <w:t>takeholders</w:t>
      </w:r>
      <w:r w:rsidR="00FF0E5D" w:rsidRPr="00134179">
        <w:rPr>
          <w:rFonts w:ascii="Georgia" w:hAnsi="Georgia" w:cs="Calibri"/>
          <w:sz w:val="22"/>
          <w:szCs w:val="22"/>
        </w:rPr>
        <w:t xml:space="preserve"> and any previous convictions or bankruptcy filings.</w:t>
      </w:r>
    </w:p>
    <w:p w14:paraId="3244E930" w14:textId="33F4C82F" w:rsidR="00755CAB" w:rsidRPr="00134179" w:rsidRDefault="00FF0E5D" w:rsidP="00755CAB">
      <w:pPr>
        <w:spacing w:before="240"/>
        <w:rPr>
          <w:rFonts w:ascii="Georgia" w:hAnsi="Georgia" w:cs="Calibri"/>
          <w:sz w:val="22"/>
          <w:szCs w:val="22"/>
        </w:rPr>
      </w:pPr>
      <w:r w:rsidRPr="00134179">
        <w:rPr>
          <w:rFonts w:ascii="Georgia" w:hAnsi="Georgia" w:cs="Calibri"/>
          <w:sz w:val="22"/>
          <w:szCs w:val="22"/>
        </w:rPr>
        <w:t>“</w:t>
      </w:r>
      <w:r w:rsidR="00A1334A" w:rsidRPr="00134179">
        <w:rPr>
          <w:rFonts w:ascii="Georgia" w:hAnsi="Georgia" w:cs="Calibri"/>
          <w:sz w:val="22"/>
          <w:szCs w:val="22"/>
        </w:rPr>
        <w:t>With laws like this we are better able to ensure our aging population can maintain their independence, have choices in where they live, and protect their finances. This level of transparency gives seniors the ability to make informed decisions about the community they choose</w:t>
      </w:r>
      <w:r w:rsidR="00281303">
        <w:rPr>
          <w:rFonts w:ascii="Georgia" w:hAnsi="Georgia" w:cs="Calibri"/>
          <w:sz w:val="22"/>
          <w:szCs w:val="22"/>
        </w:rPr>
        <w:t xml:space="preserve">,” </w:t>
      </w:r>
      <w:r w:rsidR="00281303" w:rsidRPr="00134179">
        <w:rPr>
          <w:rFonts w:ascii="Georgia" w:hAnsi="Georgia" w:cs="Calibri"/>
          <w:sz w:val="22"/>
          <w:szCs w:val="22"/>
        </w:rPr>
        <w:t>said Aging and Long-Term Services Cabinet Secretary Katrina Hotrum-Lopez.</w:t>
      </w:r>
      <w:r w:rsidR="00281303">
        <w:rPr>
          <w:rFonts w:ascii="Georgia" w:hAnsi="Georgia" w:cs="Calibri"/>
          <w:sz w:val="22"/>
          <w:szCs w:val="22"/>
        </w:rPr>
        <w:t xml:space="preserve"> “</w:t>
      </w:r>
      <w:r w:rsidRPr="00134179">
        <w:rPr>
          <w:rFonts w:ascii="Georgia" w:hAnsi="Georgia" w:cs="Calibri"/>
          <w:sz w:val="22"/>
          <w:szCs w:val="22"/>
        </w:rPr>
        <w:t xml:space="preserve">This legislation is a welcome addition to our state, especially as </w:t>
      </w:r>
      <w:r w:rsidR="0051654A" w:rsidRPr="00134179">
        <w:rPr>
          <w:rFonts w:ascii="Georgia" w:hAnsi="Georgia" w:cs="Calibri"/>
          <w:sz w:val="22"/>
          <w:szCs w:val="22"/>
        </w:rPr>
        <w:t xml:space="preserve">New Mexico’s senior population continues to grow. By 2030, New Mexico is </w:t>
      </w:r>
      <w:r w:rsidR="005A62BE" w:rsidRPr="00134179">
        <w:rPr>
          <w:rFonts w:ascii="Georgia" w:hAnsi="Georgia" w:cs="Calibri"/>
          <w:sz w:val="22"/>
          <w:szCs w:val="22"/>
        </w:rPr>
        <w:t>expected to have the fourth largest senior population in the nation (per capita).</w:t>
      </w:r>
      <w:r w:rsidR="004038C2" w:rsidRPr="00134179">
        <w:rPr>
          <w:rFonts w:ascii="Georgia" w:hAnsi="Georgia" w:cs="Calibri"/>
          <w:sz w:val="22"/>
          <w:szCs w:val="22"/>
        </w:rPr>
        <w:t xml:space="preserve">” </w:t>
      </w:r>
    </w:p>
    <w:p w14:paraId="0C716C57" w14:textId="080DD1D7" w:rsidR="004038C2" w:rsidRPr="00134179" w:rsidRDefault="00303D20" w:rsidP="00755CAB">
      <w:pPr>
        <w:spacing w:before="240"/>
        <w:rPr>
          <w:rFonts w:ascii="Georgia" w:hAnsi="Georgia" w:cs="Calibri"/>
          <w:sz w:val="22"/>
          <w:szCs w:val="22"/>
        </w:rPr>
      </w:pPr>
      <w:r w:rsidRPr="00134179">
        <w:rPr>
          <w:rFonts w:ascii="Georgia" w:hAnsi="Georgia" w:cs="Calibri"/>
          <w:sz w:val="22"/>
          <w:szCs w:val="22"/>
        </w:rPr>
        <w:t xml:space="preserve">Community advocate, Elizabeth </w:t>
      </w:r>
      <w:r w:rsidR="004A1B40" w:rsidRPr="00134179">
        <w:rPr>
          <w:rFonts w:ascii="Georgia" w:hAnsi="Georgia" w:cs="Calibri"/>
          <w:sz w:val="22"/>
          <w:szCs w:val="22"/>
        </w:rPr>
        <w:t>Dwyer, testified in support of the bill during the past legislative session, “</w:t>
      </w:r>
      <w:r w:rsidRPr="00134179">
        <w:rPr>
          <w:rFonts w:ascii="Georgia" w:hAnsi="Georgia" w:cs="Calibri"/>
          <w:sz w:val="22"/>
          <w:szCs w:val="22"/>
        </w:rPr>
        <w:t>I have lived at the Neighborhood in Rio Rancho (NIRR) for three years.  In 2019 I started working on the amendment to the Continuing Care Act that just passed.  I understood that</w:t>
      </w:r>
      <w:r w:rsidR="004F69AB">
        <w:rPr>
          <w:rFonts w:ascii="Georgia" w:hAnsi="Georgia" w:cs="Calibri"/>
          <w:sz w:val="22"/>
          <w:szCs w:val="22"/>
        </w:rPr>
        <w:t xml:space="preserve"> </w:t>
      </w:r>
      <w:r w:rsidRPr="00134179">
        <w:rPr>
          <w:rFonts w:ascii="Georgia" w:hAnsi="Georgia" w:cs="Calibri"/>
          <w:sz w:val="22"/>
          <w:szCs w:val="22"/>
        </w:rPr>
        <w:t xml:space="preserve">CCRC's did not have proper oversight from the State. Our neighbors at La Vida Llena, our sister community in Albuquerque, had been working with Sen. Tallman and Rep. Thomson to correct </w:t>
      </w:r>
      <w:r w:rsidR="00634C08" w:rsidRPr="00134179">
        <w:rPr>
          <w:rFonts w:ascii="Georgia" w:hAnsi="Georgia" w:cs="Calibri"/>
          <w:sz w:val="22"/>
          <w:szCs w:val="22"/>
        </w:rPr>
        <w:t xml:space="preserve">this </w:t>
      </w:r>
      <w:r w:rsidRPr="00134179">
        <w:rPr>
          <w:rFonts w:ascii="Georgia" w:hAnsi="Georgia" w:cs="Calibri"/>
          <w:sz w:val="22"/>
          <w:szCs w:val="22"/>
        </w:rPr>
        <w:t>for many years, and after some of our residents got more involved this year, our Sen. Craig Brandt became a co-sponsor of the bill.  We want to thank Secretary Hotrum Lopez and her staff for the wonderful support they gave during the legislative session.  Now, we look forward to working with the Secretary and her staff to give them whatever support they need to do their job.</w:t>
      </w:r>
      <w:r w:rsidR="007E6710" w:rsidRPr="00134179">
        <w:rPr>
          <w:rFonts w:ascii="Georgia" w:hAnsi="Georgia" w:cs="Calibri"/>
          <w:sz w:val="22"/>
          <w:szCs w:val="22"/>
        </w:rPr>
        <w:t>”</w:t>
      </w:r>
    </w:p>
    <w:p w14:paraId="2AF30B79" w14:textId="77777777" w:rsidR="00134179" w:rsidRPr="00134179" w:rsidRDefault="00134179" w:rsidP="00134179">
      <w:pPr>
        <w:spacing w:before="240"/>
        <w:rPr>
          <w:rFonts w:ascii="Georgia" w:hAnsi="Georgia" w:cs="Calibri"/>
          <w:sz w:val="22"/>
          <w:szCs w:val="22"/>
        </w:rPr>
      </w:pPr>
      <w:r w:rsidRPr="00134179">
        <w:rPr>
          <w:rFonts w:ascii="Georgia" w:hAnsi="Georgia" w:cs="Calibri"/>
          <w:sz w:val="22"/>
          <w:szCs w:val="22"/>
        </w:rPr>
        <w:t>ALTSD will begin the process of drafting regulatory requirements this summer and looks forward to ensuring transparency for those individuals looking to enter a continuing care community in New Mexico.</w:t>
      </w:r>
    </w:p>
    <w:p w14:paraId="4C0CEF3B" w14:textId="77777777" w:rsidR="00134179" w:rsidRPr="00134179" w:rsidRDefault="00134179" w:rsidP="00D249B5">
      <w:pPr>
        <w:rPr>
          <w:rFonts w:ascii="Georgia" w:hAnsi="Georgia" w:cs="Calibri"/>
          <w:sz w:val="22"/>
          <w:szCs w:val="22"/>
        </w:rPr>
      </w:pPr>
    </w:p>
    <w:p w14:paraId="18B2B4B3" w14:textId="08CE4EA5" w:rsidR="00755CAB" w:rsidRPr="002D3EF8" w:rsidRDefault="00755CAB" w:rsidP="00134179">
      <w:pPr>
        <w:jc w:val="center"/>
        <w:rPr>
          <w:rFonts w:ascii="Georgia" w:hAnsi="Georgia"/>
          <w:sz w:val="22"/>
          <w:szCs w:val="22"/>
        </w:rPr>
      </w:pPr>
      <w:r w:rsidRPr="002D3EF8">
        <w:rPr>
          <w:rFonts w:ascii="Georgia" w:hAnsi="Georgia" w:cs="Calibri"/>
          <w:sz w:val="22"/>
          <w:szCs w:val="22"/>
        </w:rPr>
        <w:t>###</w:t>
      </w:r>
    </w:p>
    <w:p w14:paraId="64D9ECA4" w14:textId="77777777" w:rsidR="002261AB" w:rsidRDefault="002261AB"/>
    <w:sectPr w:rsidR="002261AB" w:rsidSect="00506783">
      <w:headerReference w:type="default" r:id="rId7"/>
      <w:foot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95A2" w14:textId="77777777" w:rsidR="00ED01E5" w:rsidRDefault="00ED01E5">
      <w:r>
        <w:separator/>
      </w:r>
    </w:p>
  </w:endnote>
  <w:endnote w:type="continuationSeparator" w:id="0">
    <w:p w14:paraId="0B06CB6C" w14:textId="77777777" w:rsidR="00ED01E5" w:rsidRDefault="00ED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6C83" w14:textId="77777777" w:rsidR="00EF7F65" w:rsidRDefault="00FF3333">
    <w:pPr>
      <w:pStyle w:val="Footer"/>
    </w:pPr>
  </w:p>
  <w:p w14:paraId="7B139615" w14:textId="77777777" w:rsidR="00EF7F65" w:rsidRDefault="00FF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DC2A" w14:textId="77777777" w:rsidR="00800FBC" w:rsidRDefault="00AF6CA6" w:rsidP="00800FBC">
    <w:pPr>
      <w:jc w:val="center"/>
      <w:rPr>
        <w:rFonts w:cs="Arial"/>
        <w:i/>
        <w:iCs/>
        <w:color w:val="007098"/>
      </w:rPr>
    </w:pPr>
    <w:r>
      <w:rPr>
        <w:rFonts w:cs="Arial"/>
        <w:i/>
        <w:iCs/>
        <w:color w:val="007098"/>
      </w:rPr>
      <w:t>Partners in Lifelong Independence and Healthy Aging</w:t>
    </w:r>
  </w:p>
  <w:p w14:paraId="5FABFD8A" w14:textId="77777777" w:rsidR="00EF7F65" w:rsidRPr="00800FBC" w:rsidRDefault="00AF6CA6" w:rsidP="00800FBC">
    <w:pPr>
      <w:jc w:val="center"/>
      <w:rPr>
        <w:rFonts w:ascii="Arial" w:hAnsi="Arial" w:cs="Arial"/>
        <w:color w:val="007098"/>
        <w:sz w:val="20"/>
      </w:rPr>
    </w:pPr>
    <w:r>
      <w:rPr>
        <w:rFonts w:cs="Arial"/>
        <w:color w:val="007098"/>
        <w:sz w:val="20"/>
      </w:rPr>
      <w:t xml:space="preserve">505-476-4799 • Toll-free 1-800-432-2080 • </w:t>
    </w:r>
    <w:r w:rsidRPr="00DE55FA">
      <w:rPr>
        <w:rFonts w:cs="Arial"/>
        <w:color w:val="007098"/>
        <w:sz w:val="20"/>
      </w:rPr>
      <w:t>www.nmaging.state.nm.us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978F" w14:textId="77777777" w:rsidR="00ED01E5" w:rsidRDefault="00ED01E5">
      <w:r>
        <w:separator/>
      </w:r>
    </w:p>
  </w:footnote>
  <w:footnote w:type="continuationSeparator" w:id="0">
    <w:p w14:paraId="2F5CFED7" w14:textId="77777777" w:rsidR="00ED01E5" w:rsidRDefault="00ED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FDD6" w14:textId="77777777" w:rsidR="00EF7F65" w:rsidRDefault="00FF3333">
    <w:pPr>
      <w:pStyle w:val="Header"/>
    </w:pPr>
  </w:p>
  <w:p w14:paraId="7878C72A" w14:textId="77777777" w:rsidR="00EF7F65" w:rsidRDefault="00FF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055"/>
      <w:gridCol w:w="4850"/>
    </w:tblGrid>
    <w:tr w:rsidR="009E6C57" w14:paraId="63DF72C0" w14:textId="77777777" w:rsidTr="003C6CAA">
      <w:trPr>
        <w:jc w:val="center"/>
      </w:trPr>
      <w:tc>
        <w:tcPr>
          <w:tcW w:w="1885" w:type="dxa"/>
        </w:tcPr>
        <w:p w14:paraId="5767B6F8" w14:textId="77777777" w:rsidR="009E6C57" w:rsidRDefault="00AF6CA6" w:rsidP="009E6C57">
          <w:pPr>
            <w:pStyle w:val="Header"/>
          </w:pPr>
          <w:r w:rsidRPr="00692C6A">
            <w:rPr>
              <w:rFonts w:ascii="Georgia" w:hAnsi="Georgia"/>
              <w:noProof/>
            </w:rPr>
            <w:drawing>
              <wp:inline distT="0" distB="0" distL="0" distR="0" wp14:anchorId="4D6A790A" wp14:editId="08B2542C">
                <wp:extent cx="822960" cy="1165860"/>
                <wp:effectExtent l="0" t="0" r="0" b="0"/>
                <wp:docPr id="2" name="Picture 2" descr="ALT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1165860"/>
                        </a:xfrm>
                        <a:prstGeom prst="rect">
                          <a:avLst/>
                        </a:prstGeom>
                        <a:noFill/>
                        <a:ln>
                          <a:noFill/>
                        </a:ln>
                      </pic:spPr>
                    </pic:pic>
                  </a:graphicData>
                </a:graphic>
              </wp:inline>
            </w:drawing>
          </w:r>
        </w:p>
      </w:tc>
      <w:tc>
        <w:tcPr>
          <w:tcW w:w="4055" w:type="dxa"/>
        </w:tcPr>
        <w:p w14:paraId="40E33663" w14:textId="77777777" w:rsidR="009E6C57" w:rsidRDefault="00FF3333" w:rsidP="003028CA">
          <w:pPr>
            <w:contextualSpacing/>
          </w:pPr>
        </w:p>
      </w:tc>
      <w:tc>
        <w:tcPr>
          <w:tcW w:w="4850" w:type="dxa"/>
        </w:tcPr>
        <w:p w14:paraId="67AA5C30" w14:textId="77777777" w:rsidR="009A0094" w:rsidRPr="00692C6A" w:rsidRDefault="00AF6CA6" w:rsidP="009A0094">
          <w:pPr>
            <w:contextualSpacing/>
            <w:rPr>
              <w:rFonts w:ascii="Georgia" w:hAnsi="Georgia"/>
              <w:b/>
            </w:rPr>
          </w:pPr>
          <w:r w:rsidRPr="00692C6A">
            <w:rPr>
              <w:rFonts w:ascii="Georgia" w:hAnsi="Georgia"/>
            </w:rPr>
            <w:t>STATE OF NEW MEXICO</w:t>
          </w:r>
        </w:p>
        <w:p w14:paraId="0D9F90AE" w14:textId="77777777" w:rsidR="009A0094" w:rsidRPr="00692C6A" w:rsidRDefault="00AF6CA6" w:rsidP="009A0094">
          <w:pPr>
            <w:contextualSpacing/>
            <w:rPr>
              <w:rFonts w:ascii="Georgia" w:hAnsi="Georgia"/>
              <w:b/>
              <w:szCs w:val="24"/>
            </w:rPr>
          </w:pPr>
          <w:r w:rsidRPr="00692C6A">
            <w:rPr>
              <w:rFonts w:ascii="Georgia" w:hAnsi="Georgia"/>
              <w:b/>
              <w:szCs w:val="24"/>
            </w:rPr>
            <w:t>Aging &amp; Long-Term Services</w:t>
          </w:r>
        </w:p>
        <w:p w14:paraId="3D7E24A0" w14:textId="77777777" w:rsidR="009A0094" w:rsidRPr="00692C6A" w:rsidRDefault="00AF6CA6" w:rsidP="009A0094">
          <w:pPr>
            <w:contextualSpacing/>
            <w:rPr>
              <w:rFonts w:ascii="Georgia" w:hAnsi="Georgia"/>
              <w:b/>
              <w:szCs w:val="24"/>
            </w:rPr>
          </w:pPr>
          <w:r w:rsidRPr="00692C6A">
            <w:rPr>
              <w:rFonts w:ascii="Georgia" w:hAnsi="Georgia"/>
              <w:b/>
              <w:szCs w:val="24"/>
            </w:rPr>
            <w:t>Governor Michelle Lujan Grisham</w:t>
          </w:r>
        </w:p>
        <w:p w14:paraId="2B4FD78E" w14:textId="77777777" w:rsidR="009A0094" w:rsidRPr="00692C6A" w:rsidRDefault="00AF6CA6" w:rsidP="009A0094">
          <w:pPr>
            <w:contextualSpacing/>
            <w:rPr>
              <w:rFonts w:ascii="Georgia" w:hAnsi="Georgia"/>
            </w:rPr>
          </w:pPr>
          <w:r w:rsidRPr="00692C6A">
            <w:rPr>
              <w:rFonts w:ascii="Georgia" w:hAnsi="Georgia"/>
            </w:rPr>
            <w:t>Katrina Hotrum-Lopez, Cabinet Secretary</w:t>
          </w:r>
        </w:p>
        <w:p w14:paraId="310D3CBA" w14:textId="77777777" w:rsidR="009E6C57" w:rsidRDefault="00AF6CA6" w:rsidP="009A0094">
          <w:pPr>
            <w:pStyle w:val="Header"/>
          </w:pPr>
          <w:r w:rsidRPr="00692C6A">
            <w:rPr>
              <w:rFonts w:ascii="Georgia" w:hAnsi="Georgia"/>
            </w:rPr>
            <w:t>Sam Ojinaga, Deputy Cabinet Secretary</w:t>
          </w:r>
        </w:p>
      </w:tc>
    </w:tr>
  </w:tbl>
  <w:p w14:paraId="0E421F06" w14:textId="77777777" w:rsidR="00545782" w:rsidRDefault="00FF3333" w:rsidP="00B4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70F4E"/>
    <w:multiLevelType w:val="hybridMultilevel"/>
    <w:tmpl w:val="CE8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AB"/>
    <w:rsid w:val="00006929"/>
    <w:rsid w:val="00011E12"/>
    <w:rsid w:val="0008674B"/>
    <w:rsid w:val="000932EF"/>
    <w:rsid w:val="00134179"/>
    <w:rsid w:val="00186A8F"/>
    <w:rsid w:val="001B42FC"/>
    <w:rsid w:val="001E06A5"/>
    <w:rsid w:val="001F69DB"/>
    <w:rsid w:val="002261AB"/>
    <w:rsid w:val="002753E8"/>
    <w:rsid w:val="00281303"/>
    <w:rsid w:val="002B5389"/>
    <w:rsid w:val="002E07CF"/>
    <w:rsid w:val="00303D20"/>
    <w:rsid w:val="00332AA1"/>
    <w:rsid w:val="0035443B"/>
    <w:rsid w:val="003A7EF2"/>
    <w:rsid w:val="004038C2"/>
    <w:rsid w:val="004435B2"/>
    <w:rsid w:val="00485139"/>
    <w:rsid w:val="004A1B40"/>
    <w:rsid w:val="004F69AB"/>
    <w:rsid w:val="00511ED2"/>
    <w:rsid w:val="0051654A"/>
    <w:rsid w:val="005A62BE"/>
    <w:rsid w:val="005C02D6"/>
    <w:rsid w:val="00634BDD"/>
    <w:rsid w:val="00634C08"/>
    <w:rsid w:val="00755CAB"/>
    <w:rsid w:val="007E6710"/>
    <w:rsid w:val="007F0285"/>
    <w:rsid w:val="007F3307"/>
    <w:rsid w:val="007F5222"/>
    <w:rsid w:val="008317EC"/>
    <w:rsid w:val="009161A8"/>
    <w:rsid w:val="00A1334A"/>
    <w:rsid w:val="00AE1250"/>
    <w:rsid w:val="00AF6CA6"/>
    <w:rsid w:val="00CE10E6"/>
    <w:rsid w:val="00D249B5"/>
    <w:rsid w:val="00E10C2D"/>
    <w:rsid w:val="00E35292"/>
    <w:rsid w:val="00ED01E5"/>
    <w:rsid w:val="00F519A9"/>
    <w:rsid w:val="00FF0E5D"/>
    <w:rsid w:val="00FF3333"/>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8AB9"/>
  <w15:chartTrackingRefBased/>
  <w15:docId w15:val="{2594B245-58E3-40DB-8DC1-2B175273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AB"/>
    <w:pPr>
      <w:spacing w:after="0" w:line="240" w:lineRule="auto"/>
    </w:pPr>
    <w:rPr>
      <w:rFonts w:ascii="Palatino Linotype" w:eastAsia="Times New Roman" w:hAnsi="Palatino Linotype"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CAB"/>
    <w:pPr>
      <w:tabs>
        <w:tab w:val="center" w:pos="4320"/>
        <w:tab w:val="right" w:pos="8640"/>
      </w:tabs>
    </w:pPr>
  </w:style>
  <w:style w:type="character" w:customStyle="1" w:styleId="HeaderChar">
    <w:name w:val="Header Char"/>
    <w:basedOn w:val="DefaultParagraphFont"/>
    <w:link w:val="Header"/>
    <w:uiPriority w:val="99"/>
    <w:rsid w:val="00755CAB"/>
    <w:rPr>
      <w:rFonts w:ascii="Palatino Linotype" w:eastAsia="Times New Roman" w:hAnsi="Palatino Linotype" w:cs="Courier New"/>
      <w:sz w:val="24"/>
      <w:szCs w:val="20"/>
    </w:rPr>
  </w:style>
  <w:style w:type="paragraph" w:styleId="Footer">
    <w:name w:val="footer"/>
    <w:basedOn w:val="Normal"/>
    <w:link w:val="FooterChar"/>
    <w:rsid w:val="00755CAB"/>
    <w:pPr>
      <w:tabs>
        <w:tab w:val="center" w:pos="4320"/>
        <w:tab w:val="right" w:pos="8640"/>
      </w:tabs>
    </w:pPr>
  </w:style>
  <w:style w:type="character" w:customStyle="1" w:styleId="FooterChar">
    <w:name w:val="Footer Char"/>
    <w:basedOn w:val="DefaultParagraphFont"/>
    <w:link w:val="Footer"/>
    <w:rsid w:val="00755CAB"/>
    <w:rPr>
      <w:rFonts w:ascii="Palatino Linotype" w:eastAsia="Times New Roman" w:hAnsi="Palatino Linotype" w:cs="Courier New"/>
      <w:sz w:val="24"/>
      <w:szCs w:val="20"/>
    </w:rPr>
  </w:style>
  <w:style w:type="character" w:styleId="Hyperlink">
    <w:name w:val="Hyperlink"/>
    <w:rsid w:val="00755CAB"/>
    <w:rPr>
      <w:color w:val="0000FF"/>
      <w:u w:val="single"/>
    </w:rPr>
  </w:style>
  <w:style w:type="table" w:styleId="TableGrid">
    <w:name w:val="Table Grid"/>
    <w:basedOn w:val="TableNormal"/>
    <w:uiPriority w:val="39"/>
    <w:rsid w:val="00755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CAB"/>
    <w:pPr>
      <w:ind w:left="72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Gene</dc:creator>
  <cp:keywords/>
  <dc:description/>
  <cp:lastModifiedBy>Bre Gene</cp:lastModifiedBy>
  <cp:revision>5</cp:revision>
  <dcterms:created xsi:type="dcterms:W3CDTF">2021-04-29T15:40:00Z</dcterms:created>
  <dcterms:modified xsi:type="dcterms:W3CDTF">2021-04-29T15:43:00Z</dcterms:modified>
</cp:coreProperties>
</file>